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FA" w:rsidRPr="00C36017" w:rsidRDefault="000179FA" w:rsidP="00C36017">
      <w:pPr>
        <w:spacing w:after="0" w:line="240" w:lineRule="auto"/>
        <w:ind w:firstLine="5400"/>
        <w:rPr>
          <w:rFonts w:ascii="Times New Roman" w:hAnsi="Times New Roman"/>
          <w:sz w:val="28"/>
          <w:szCs w:val="28"/>
          <w:lang w:eastAsia="ru-RU"/>
        </w:rPr>
      </w:pPr>
      <w:r w:rsidRPr="00C36017">
        <w:rPr>
          <w:rFonts w:ascii="Times New Roman" w:hAnsi="Times New Roman"/>
          <w:sz w:val="28"/>
          <w:szCs w:val="28"/>
          <w:lang w:eastAsia="ru-RU"/>
        </w:rPr>
        <w:t>ЗАТВЕРДЖЕНО</w:t>
      </w:r>
    </w:p>
    <w:p w:rsidR="000179FA" w:rsidRPr="00C36017" w:rsidRDefault="000179FA" w:rsidP="00C36017">
      <w:pPr>
        <w:spacing w:after="0" w:line="240" w:lineRule="auto"/>
        <w:ind w:firstLine="5400"/>
        <w:rPr>
          <w:rFonts w:ascii="Times New Roman" w:hAnsi="Times New Roman"/>
          <w:sz w:val="28"/>
          <w:szCs w:val="28"/>
          <w:lang w:eastAsia="ru-RU"/>
        </w:rPr>
      </w:pPr>
      <w:r w:rsidRPr="00C36017">
        <w:rPr>
          <w:rFonts w:ascii="Times New Roman" w:hAnsi="Times New Roman"/>
          <w:sz w:val="28"/>
          <w:szCs w:val="28"/>
          <w:lang w:eastAsia="ru-RU"/>
        </w:rPr>
        <w:t xml:space="preserve">Наказ Херсонського </w:t>
      </w:r>
    </w:p>
    <w:p w:rsidR="000179FA" w:rsidRPr="00C36017" w:rsidRDefault="000179FA" w:rsidP="00C36017">
      <w:pPr>
        <w:spacing w:after="0" w:line="240" w:lineRule="auto"/>
        <w:ind w:firstLine="5400"/>
        <w:rPr>
          <w:rFonts w:ascii="Times New Roman" w:hAnsi="Times New Roman"/>
          <w:sz w:val="28"/>
          <w:szCs w:val="28"/>
          <w:lang w:eastAsia="ru-RU"/>
        </w:rPr>
      </w:pPr>
      <w:r w:rsidRPr="00C36017">
        <w:rPr>
          <w:rFonts w:ascii="Times New Roman" w:hAnsi="Times New Roman"/>
          <w:sz w:val="28"/>
          <w:szCs w:val="28"/>
          <w:lang w:eastAsia="ru-RU"/>
        </w:rPr>
        <w:t>державного університету</w:t>
      </w:r>
    </w:p>
    <w:p w:rsidR="000179FA" w:rsidRPr="00C36017" w:rsidRDefault="000179FA" w:rsidP="00C36017">
      <w:pPr>
        <w:keepNext/>
        <w:spacing w:after="0" w:line="240" w:lineRule="auto"/>
        <w:ind w:firstLine="5400"/>
        <w:outlineLvl w:val="0"/>
        <w:rPr>
          <w:rFonts w:ascii="Times New Roman" w:hAnsi="Times New Roman"/>
          <w:sz w:val="28"/>
          <w:szCs w:val="28"/>
          <w:lang w:val="ru-RU" w:eastAsia="ru-RU"/>
        </w:rPr>
      </w:pPr>
      <w:r w:rsidRPr="00C36017">
        <w:rPr>
          <w:rFonts w:ascii="Times New Roman" w:hAnsi="Times New Roman"/>
          <w:sz w:val="28"/>
          <w:szCs w:val="28"/>
          <w:lang w:eastAsia="ru-RU"/>
        </w:rPr>
        <w:t>«29» жовтня 2015 року № 628 -Д</w:t>
      </w:r>
    </w:p>
    <w:p w:rsidR="000179FA" w:rsidRPr="003344FD" w:rsidRDefault="000179FA" w:rsidP="00104F26">
      <w:pPr>
        <w:spacing w:after="0" w:line="240" w:lineRule="auto"/>
        <w:jc w:val="center"/>
        <w:rPr>
          <w:rFonts w:ascii="Times New Roman" w:hAnsi="Times New Roman"/>
          <w:color w:val="FF0000"/>
          <w:sz w:val="28"/>
          <w:szCs w:val="28"/>
          <w:lang w:eastAsia="ru-RU"/>
        </w:rPr>
      </w:pPr>
    </w:p>
    <w:p w:rsidR="000179FA" w:rsidRDefault="000179FA" w:rsidP="00104F26">
      <w:pPr>
        <w:spacing w:after="0" w:line="240" w:lineRule="auto"/>
        <w:jc w:val="center"/>
        <w:rPr>
          <w:rFonts w:ascii="Times New Roman" w:hAnsi="Times New Roman"/>
          <w:sz w:val="28"/>
          <w:szCs w:val="28"/>
          <w:lang w:eastAsia="ru-RU"/>
        </w:rPr>
      </w:pPr>
    </w:p>
    <w:p w:rsidR="000179FA" w:rsidRDefault="000179FA" w:rsidP="00104F2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ПОЛОЖЕННЯ</w:t>
      </w:r>
    </w:p>
    <w:p w:rsidR="000179FA" w:rsidRDefault="000179FA" w:rsidP="00104F26">
      <w:pPr>
        <w:spacing w:after="0" w:line="240" w:lineRule="auto"/>
        <w:jc w:val="center"/>
        <w:rPr>
          <w:rFonts w:ascii="Times New Roman" w:hAnsi="Times New Roman"/>
          <w:sz w:val="28"/>
          <w:szCs w:val="20"/>
          <w:lang w:val="ru-RU" w:eastAsia="uk-UA"/>
        </w:rPr>
      </w:pPr>
      <w:r>
        <w:rPr>
          <w:rFonts w:ascii="Times New Roman" w:hAnsi="Times New Roman"/>
          <w:sz w:val="28"/>
          <w:szCs w:val="20"/>
          <w:lang w:eastAsia="uk-UA"/>
        </w:rPr>
        <w:t xml:space="preserve">ПРО АКАДЕМІЧНУ МОБІЛЬНІСТЬ СТУДЕНТІВ </w:t>
      </w:r>
    </w:p>
    <w:p w:rsidR="000179FA" w:rsidRDefault="000179FA" w:rsidP="00104F26">
      <w:pPr>
        <w:spacing w:after="0" w:line="240" w:lineRule="auto"/>
        <w:jc w:val="center"/>
        <w:rPr>
          <w:rFonts w:ascii="Times New Roman" w:hAnsi="Times New Roman"/>
          <w:sz w:val="28"/>
          <w:szCs w:val="20"/>
          <w:lang w:eastAsia="uk-UA"/>
        </w:rPr>
      </w:pPr>
      <w:r>
        <w:rPr>
          <w:rFonts w:ascii="Times New Roman" w:hAnsi="Times New Roman"/>
          <w:sz w:val="28"/>
          <w:szCs w:val="20"/>
          <w:lang w:eastAsia="uk-UA"/>
        </w:rPr>
        <w:t xml:space="preserve">ХЕРСОНСЬКОГО ДЕРЖАВНОГО УНІВЕРСИТЕТУ </w:t>
      </w:r>
    </w:p>
    <w:p w:rsidR="000179FA" w:rsidRDefault="000179FA" w:rsidP="00104F26">
      <w:pPr>
        <w:tabs>
          <w:tab w:val="left" w:pos="360"/>
        </w:tabs>
        <w:spacing w:after="0" w:line="240" w:lineRule="auto"/>
        <w:rPr>
          <w:rFonts w:ascii="Times New Roman" w:hAnsi="Times New Roman"/>
          <w:sz w:val="28"/>
          <w:szCs w:val="28"/>
          <w:lang w:eastAsia="ru-RU"/>
        </w:rPr>
      </w:pPr>
    </w:p>
    <w:p w:rsidR="000179FA" w:rsidRDefault="000179FA" w:rsidP="00104F26">
      <w:pPr>
        <w:tabs>
          <w:tab w:val="left" w:pos="360"/>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1.ЗАГАЛЬНІ ПОЛОЖЕННЯ</w:t>
      </w:r>
    </w:p>
    <w:p w:rsidR="000179FA" w:rsidRDefault="000179FA" w:rsidP="00104F26">
      <w:pPr>
        <w:pStyle w:val="ListParagraph"/>
        <w:tabs>
          <w:tab w:val="left" w:pos="360"/>
        </w:tabs>
        <w:spacing w:after="0" w:line="240" w:lineRule="auto"/>
        <w:ind w:left="1077"/>
        <w:rPr>
          <w:rFonts w:ascii="Times New Roman" w:hAnsi="Times New Roman"/>
          <w:sz w:val="28"/>
          <w:szCs w:val="28"/>
          <w:lang w:eastAsia="ru-RU"/>
        </w:rPr>
      </w:pPr>
    </w:p>
    <w:p w:rsidR="000179FA" w:rsidRDefault="000179FA" w:rsidP="00104F26">
      <w:pPr>
        <w:tabs>
          <w:tab w:val="left" w:pos="1134"/>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1.Положення регламентує діяльність Херсонського державного університету (далі – ХДУ) щодо організації академічної мобільності учасників освітнього процесу і встановлює загальний порядок організації різних програм академічної мобільності на території України і за кордоном. </w:t>
      </w:r>
    </w:p>
    <w:p w:rsidR="000179FA" w:rsidRDefault="000179FA" w:rsidP="00104F26">
      <w:pPr>
        <w:tabs>
          <w:tab w:val="left" w:pos="1055"/>
          <w:tab w:val="left" w:pos="1276"/>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2. Академічна мобільність передбачає участь як вітчизняних, так і іноземних учасників освітнього процесу в освітньому процесі (в Україні або за кордоном), проходження навчальної або виробничої практики, проведення наукових досліджень з можливістю перезарахування в установленому порядку освоєних навчальних дисциплін, практик тощо.</w:t>
      </w:r>
    </w:p>
    <w:p w:rsidR="000179FA" w:rsidRDefault="000179FA" w:rsidP="00104F26">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Навчання вітчизняних та іноземних учасників освітнього процесу за узгодженими між вищими навчальними закладами (науковими установами) – партнерами освітніми програмами, що включають програми академічної мобільності, може передбачати отримання випускниками документа про вищу освіту вищого навчального закладу (наукової установи) – партнера, а також спільних або подвійних документів про вищу освіту вищих навчальних закладів (наукових установ) – партнерів.</w:t>
      </w:r>
    </w:p>
    <w:p w:rsidR="000179FA" w:rsidRDefault="000179FA" w:rsidP="00104F26">
      <w:pPr>
        <w:tabs>
          <w:tab w:val="left" w:pos="1134"/>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3. Академічна мобільність здійснюється на підставі </w:t>
      </w:r>
      <w:r>
        <w:rPr>
          <w:rFonts w:ascii="Times New Roman" w:hAnsi="Times New Roman"/>
          <w:sz w:val="28"/>
          <w:szCs w:val="28"/>
          <w:lang w:eastAsia="uk-UA"/>
        </w:rPr>
        <w:t>міжнародних договорів про співробітництво в галузі освіти та науки, міжнародних програм та проектів,</w:t>
      </w:r>
      <w:r>
        <w:rPr>
          <w:rFonts w:ascii="Times New Roman" w:hAnsi="Times New Roman"/>
          <w:sz w:val="28"/>
          <w:szCs w:val="28"/>
          <w:lang w:eastAsia="ru-RU"/>
        </w:rPr>
        <w:t xml:space="preserve"> укладення угод про співробітництво між іноземним вищим навчальним закладом та ХДУ, між вищими навчальними закладами України та ХДУ, між групою вищих навчальних закладів різних країн та ХДУ за узгодженими та затвердженими в установленому порядку індивідуальними навчальними планами та програмами навчальних дисциплін. Вищі навчальні заклади, які уклали угоду з ХДУ про співробітництво, в цілях цього Положення надалі іменуються «вищі навчальні заклади-партнери».</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4. Право на академічну мобільність може бути реалізоване вітчизняним учасником освітнього процесу з власної ініціативи, підтриманої адміністрацією ХДУ, на основі індивідуальних запрошень та інших механізмів.</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5. За місцем реалізації права на академічну мобільність вона поділяється на:</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внутрішню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в межах України;</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міжнародну академічну мобільність — академічна мобільність, право на яку реалізується вітчизняними учасниками освітнього процесу у вищих навчальних закладах (наукових установах) — партнерах поза межами України, а також іноземними учасниками освітнього процесу у вітчизняних вищих навчальних закладах (наукових установах).</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6. Основними видами академічної мобільності є:</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ступенева мобільність — навчання у вищому навчальному закладі, відмінному від постійного місця навчання учасника освітнього процесу, з метою здобуття ступеня вищої освіти, що підтверджується документом (документами) про вищу освіту або про здобуття ступеня вищої освіти від двох або більше вищих навчальних закладів;</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кредитна мобільність — навчання у вищому навчальному закладі, відмінному від постійного місця навчання учасника освітнього процесу, з метою здобуття кредитів Європейської кредитної трансферно-накопичувальної системи та/або відповідних компетентностей, результатів навчання (без здобуття кредитів Європейської кредитної трансферно-накопичувальної системи), що будуть визнані у вищому навчальному закладі постійного місця навчання вітчизняного чи іноземного учасника освітнього процесу. При цьому загальний період навчання для таких учасників за програмами кредитної мобільності залишається незмінним.</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7. Формами академічної мобільності для учасників освітнього процесу, що здобувають освітні ступені, бакалавра, магістра та доктора філософії у вітчизняних вищих навчальних закладах, є:</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навчання за програмами академічної мобільності;</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мовне стажування;</w:t>
      </w:r>
    </w:p>
    <w:p w:rsidR="000179FA" w:rsidRDefault="000179FA" w:rsidP="00104F26">
      <w:pPr>
        <w:spacing w:after="0" w:line="240" w:lineRule="auto"/>
        <w:ind w:firstLine="357"/>
        <w:jc w:val="both"/>
        <w:rPr>
          <w:rFonts w:ascii="Times New Roman" w:hAnsi="Times New Roman"/>
          <w:color w:val="FFC000"/>
          <w:sz w:val="28"/>
          <w:szCs w:val="28"/>
          <w:lang w:eastAsia="uk-UA"/>
        </w:rPr>
      </w:pPr>
      <w:r>
        <w:rPr>
          <w:rFonts w:ascii="Times New Roman" w:hAnsi="Times New Roman"/>
          <w:sz w:val="28"/>
          <w:szCs w:val="28"/>
          <w:lang w:eastAsia="uk-UA"/>
        </w:rPr>
        <w:t>наукове стажування.</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8. Формами академічної мобільності для осіб, що здобувають наукову ступінь доктора наук, науково-педагогічних, наукових і педагогічних працівників та інших учасників освітнього процесу, є:</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участь у спільних проектах;</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викладання;</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наукове дослідження;</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наукове стажування;</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підвищення кваліфікації.</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9.Умови навчання і перебування учасників академічної мобільності та інші питання визначаються двосторонніми або багатосторонніми угодами між вищими навчальними закладами-партнерами.</w:t>
      </w:r>
    </w:p>
    <w:p w:rsidR="000179FA" w:rsidRDefault="000179FA" w:rsidP="00104F26">
      <w:pPr>
        <w:tabs>
          <w:tab w:val="left" w:pos="1134"/>
        </w:tabs>
        <w:spacing w:after="0" w:line="240" w:lineRule="auto"/>
        <w:jc w:val="both"/>
        <w:rPr>
          <w:rFonts w:ascii="Times New Roman" w:hAnsi="Times New Roman"/>
          <w:sz w:val="28"/>
          <w:szCs w:val="28"/>
          <w:lang w:eastAsia="ru-RU"/>
        </w:rPr>
      </w:pPr>
    </w:p>
    <w:p w:rsidR="000179FA" w:rsidRDefault="000179FA" w:rsidP="00104F26">
      <w:pPr>
        <w:tabs>
          <w:tab w:val="left" w:pos="1134"/>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2.ЦІЛІ ТА ЗАВДАННЯ АКАДЕМІЧНОЇ МОБІЛЬНОСТІ </w:t>
      </w:r>
    </w:p>
    <w:p w:rsidR="000179FA" w:rsidRDefault="000179FA" w:rsidP="00104F26">
      <w:pPr>
        <w:tabs>
          <w:tab w:val="left" w:pos="1134"/>
        </w:tabs>
        <w:spacing w:after="0" w:line="240" w:lineRule="auto"/>
        <w:jc w:val="center"/>
        <w:rPr>
          <w:rFonts w:ascii="Times New Roman" w:hAnsi="Times New Roman"/>
          <w:sz w:val="28"/>
          <w:szCs w:val="28"/>
          <w:lang w:eastAsia="ru-RU"/>
        </w:rPr>
      </w:pPr>
    </w:p>
    <w:p w:rsidR="000179FA" w:rsidRDefault="000179FA" w:rsidP="00104F26">
      <w:pPr>
        <w:tabs>
          <w:tab w:val="left" w:pos="567"/>
          <w:tab w:val="left" w:pos="1134"/>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1. Основними цілями академічної мобільності учасників освітнього процесу в ХДУ є:</w:t>
      </w:r>
    </w:p>
    <w:p w:rsidR="000179FA" w:rsidRDefault="000179FA" w:rsidP="00104F26">
      <w:pPr>
        <w:tabs>
          <w:tab w:val="left"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ab/>
        <w:t>підвищення якості вищої освіти;</w:t>
      </w:r>
    </w:p>
    <w:p w:rsidR="000179FA" w:rsidRDefault="000179FA" w:rsidP="00104F26">
      <w:pPr>
        <w:tabs>
          <w:tab w:val="left"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ab/>
        <w:t>підвищення ефективності наукових досліджень;</w:t>
      </w:r>
    </w:p>
    <w:p w:rsidR="000179FA" w:rsidRDefault="000179FA" w:rsidP="00104F26">
      <w:pPr>
        <w:tabs>
          <w:tab w:val="left"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ab/>
        <w:t>підвищення конкурентоздатності випускників ХДУ на українському та міжнародному ринках освітніх послуг та праці;</w:t>
      </w:r>
    </w:p>
    <w:p w:rsidR="000179FA" w:rsidRDefault="000179FA" w:rsidP="00104F26">
      <w:pPr>
        <w:tabs>
          <w:tab w:val="left"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ab/>
        <w:t>збагачення індивідуального досвіду здобувачів вищої освіти щодо інших моделей створення та поширення знань;</w:t>
      </w:r>
    </w:p>
    <w:p w:rsidR="000179FA" w:rsidRDefault="000179FA" w:rsidP="00104F26">
      <w:pPr>
        <w:tabs>
          <w:tab w:val="left"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залучення світового інтелектуального потенціалу до вітчизняного освітнього процесу на основі двосторонніх та багатосторонніх угод між вищими навчальними закладами-партнерами;</w:t>
      </w:r>
    </w:p>
    <w:p w:rsidR="000179FA" w:rsidRDefault="000179FA" w:rsidP="00104F26">
      <w:pPr>
        <w:tabs>
          <w:tab w:val="left"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ab/>
        <w:t>встановлення внутрішніх та зовнішніх інтеграційних зв’язків;</w:t>
      </w:r>
    </w:p>
    <w:p w:rsidR="000179FA" w:rsidRDefault="000179FA" w:rsidP="00104F26">
      <w:pPr>
        <w:tabs>
          <w:tab w:val="left"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ab/>
        <w:t>гармонізація освітніх стандартів вищих навчальних закладів-партнерів.</w:t>
      </w:r>
    </w:p>
    <w:p w:rsidR="000179FA" w:rsidRDefault="000179FA" w:rsidP="00104F26">
      <w:pPr>
        <w:tabs>
          <w:tab w:val="left" w:pos="1276"/>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2. Основними завданнями академічної мобільності учасників освітнього процесу ХДУ є :</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підвищення рівня теоретичної та практичної підготовки, проведення досліджень з використанням сучасного обладнання і технологій, опанування новітніми методами дослідження, набуття досвіду проведення науково-дослідної роботи та впровадження її результатів; </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здійснення наукових досліджень, обмін досвідом викладацької діяльності, вдосконалення професійного досвіду за науковою спеціальністю </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набуття професійного досвіду під час проходження навчальних та виробничих практик;</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можливість одночасного отримання студентом двох документів про вищу освіту з додатками встановленого у вищих навчальних закладах-партнерах зразка та інформацією про систему оцінювання в них навчальних здобутків студентів;</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підвищення рівня володіння іноземними мовами;</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посилення інтеграції освіти і науки, розвиток подальших наукових досліджень, поглиблення знань національних культур інших країн, а також поширення знань про мову, культуру, освіту і науку України;</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підтримка соціальних, економічних, культурних, політичних взаємовідносин  та зв’я</w:t>
      </w:r>
      <w:bookmarkStart w:id="0" w:name="_GoBack"/>
      <w:bookmarkEnd w:id="0"/>
      <w:r>
        <w:rPr>
          <w:rFonts w:ascii="Times New Roman" w:hAnsi="Times New Roman"/>
          <w:sz w:val="28"/>
          <w:szCs w:val="28"/>
          <w:lang w:eastAsia="ru-RU"/>
        </w:rPr>
        <w:t>зків з іншими країнами</w:t>
      </w:r>
    </w:p>
    <w:p w:rsidR="000179FA" w:rsidRDefault="000179FA" w:rsidP="00104F26">
      <w:pPr>
        <w:spacing w:after="0" w:line="240" w:lineRule="auto"/>
        <w:ind w:firstLine="357"/>
        <w:jc w:val="both"/>
        <w:rPr>
          <w:rFonts w:ascii="Times New Roman" w:hAnsi="Times New Roman"/>
          <w:sz w:val="28"/>
          <w:szCs w:val="28"/>
          <w:lang w:eastAsia="ru-RU"/>
        </w:rPr>
      </w:pPr>
    </w:p>
    <w:p w:rsidR="000179FA" w:rsidRDefault="000179FA" w:rsidP="00104F26">
      <w:pPr>
        <w:spacing w:after="0" w:line="240" w:lineRule="auto"/>
        <w:ind w:firstLine="357"/>
        <w:jc w:val="center"/>
        <w:rPr>
          <w:rFonts w:ascii="Times New Roman" w:hAnsi="Times New Roman"/>
          <w:sz w:val="28"/>
          <w:szCs w:val="28"/>
          <w:lang w:eastAsia="ru-RU"/>
        </w:rPr>
      </w:pPr>
      <w:r>
        <w:rPr>
          <w:rFonts w:ascii="Times New Roman" w:hAnsi="Times New Roman"/>
          <w:sz w:val="28"/>
          <w:szCs w:val="28"/>
          <w:lang w:eastAsia="ru-RU"/>
        </w:rPr>
        <w:t>3. НОРМАТИВНО-ПРАВОВА БАЗА ПРОГРАМ АКАДЕМІЧНОЇ МОБІЛЬНОСТІ ЗДОБУВАЧІВ ВИЩОЇ ОСВІТИ</w:t>
      </w:r>
    </w:p>
    <w:p w:rsidR="000179FA" w:rsidRDefault="000179FA" w:rsidP="00104F26">
      <w:pPr>
        <w:spacing w:after="0" w:line="240" w:lineRule="auto"/>
        <w:ind w:firstLine="357"/>
        <w:jc w:val="both"/>
        <w:rPr>
          <w:rFonts w:ascii="Times New Roman" w:hAnsi="Times New Roman"/>
          <w:sz w:val="28"/>
          <w:szCs w:val="28"/>
          <w:lang w:eastAsia="ru-RU"/>
        </w:rPr>
      </w:pPr>
    </w:p>
    <w:p w:rsidR="000179FA" w:rsidRDefault="000179FA" w:rsidP="00104F26">
      <w:pPr>
        <w:pStyle w:val="ListParagraph"/>
        <w:numPr>
          <w:ilvl w:val="0"/>
          <w:numId w:val="5"/>
        </w:numPr>
        <w:tabs>
          <w:tab w:val="num"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Це Положення розроблено відповідно до:</w:t>
      </w:r>
    </w:p>
    <w:p w:rsidR="000179FA" w:rsidRDefault="000179FA" w:rsidP="00104F26">
      <w:pPr>
        <w:tabs>
          <w:tab w:val="num"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Закону України «Про вищу освіту»; </w:t>
      </w:r>
    </w:p>
    <w:p w:rsidR="000179FA" w:rsidRDefault="000179FA" w:rsidP="00104F26">
      <w:pPr>
        <w:tabs>
          <w:tab w:val="num"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Закону України «Про освіту»; </w:t>
      </w:r>
    </w:p>
    <w:p w:rsidR="000179FA" w:rsidRDefault="000179FA" w:rsidP="00104F26">
      <w:pPr>
        <w:tabs>
          <w:tab w:val="num"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Закону України «Про правовий статус іноземців та осіб без громадянства» (із змінами); </w:t>
      </w:r>
    </w:p>
    <w:p w:rsidR="000179FA" w:rsidRDefault="000179FA" w:rsidP="00104F26">
      <w:pPr>
        <w:tabs>
          <w:tab w:val="num"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Постанови Кабінету Міністрів України від 13 квітня 2011 р. № 411 «Питання навчання студентів та аспірантів, стажування наукових і науково-педагогічних працівників у провідних вищих навчальних закладах та наукових установах за кордоном»;</w:t>
      </w:r>
    </w:p>
    <w:p w:rsidR="000179FA" w:rsidRDefault="000179FA" w:rsidP="00104F26">
      <w:pPr>
        <w:tabs>
          <w:tab w:val="num" w:pos="567"/>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Постанови Кабінету Міністрів України від 12 серпня 2015 р. № 579 «Про затвердження Положення про порядок реалізації права на академічну мобільність»</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Наказу Міністерства освіти і науки України від 29 травня 2013 р. № 635 «Щодо затвердження Примірного положення про академічну мобільність студентів вищих навчальних закладів України»;</w:t>
      </w:r>
    </w:p>
    <w:p w:rsidR="000179FA" w:rsidRDefault="000179FA" w:rsidP="00104F26">
      <w:pPr>
        <w:tabs>
          <w:tab w:val="left" w:pos="0"/>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Інших нормативно-правових актів в галузі вищої освіти.</w:t>
      </w:r>
    </w:p>
    <w:p w:rsidR="000179FA" w:rsidRDefault="000179FA" w:rsidP="00104F26">
      <w:pPr>
        <w:spacing w:after="0" w:line="240" w:lineRule="auto"/>
        <w:ind w:firstLine="357"/>
        <w:jc w:val="both"/>
        <w:textAlignment w:val="top"/>
        <w:rPr>
          <w:rFonts w:ascii="Times New Roman" w:hAnsi="Times New Roman"/>
          <w:sz w:val="28"/>
          <w:szCs w:val="28"/>
          <w:lang w:eastAsia="uk-UA"/>
        </w:rPr>
      </w:pPr>
    </w:p>
    <w:p w:rsidR="000179FA" w:rsidRDefault="000179FA" w:rsidP="00104F26">
      <w:pPr>
        <w:spacing w:after="0" w:line="240" w:lineRule="auto"/>
        <w:ind w:firstLine="357"/>
        <w:jc w:val="center"/>
        <w:textAlignment w:val="top"/>
        <w:rPr>
          <w:rFonts w:ascii="Times New Roman" w:hAnsi="Times New Roman"/>
          <w:sz w:val="28"/>
          <w:szCs w:val="28"/>
          <w:lang w:eastAsia="uk-UA"/>
        </w:rPr>
      </w:pPr>
      <w:r>
        <w:rPr>
          <w:rFonts w:ascii="Times New Roman" w:hAnsi="Times New Roman"/>
          <w:sz w:val="28"/>
          <w:szCs w:val="28"/>
          <w:lang w:eastAsia="uk-UA"/>
        </w:rPr>
        <w:t>4. ОРГАНІЗАЦІЙНЕ ЗАБЕЗПЕЧЕННЯ АКАДЕМІЧНОЇ МОБІЛЬНОСТІ</w:t>
      </w:r>
    </w:p>
    <w:p w:rsidR="000179FA" w:rsidRDefault="000179FA" w:rsidP="00104F26">
      <w:pPr>
        <w:tabs>
          <w:tab w:val="left" w:pos="0"/>
        </w:tabs>
        <w:spacing w:after="0" w:line="240" w:lineRule="auto"/>
        <w:ind w:firstLine="357"/>
        <w:jc w:val="both"/>
        <w:rPr>
          <w:rFonts w:ascii="Times New Roman" w:hAnsi="Times New Roman"/>
          <w:sz w:val="28"/>
          <w:szCs w:val="28"/>
          <w:lang w:eastAsia="ru-RU"/>
        </w:rPr>
      </w:pPr>
    </w:p>
    <w:p w:rsidR="000179FA" w:rsidRDefault="000179FA" w:rsidP="00104F26">
      <w:pPr>
        <w:tabs>
          <w:tab w:val="left" w:pos="1134"/>
          <w:tab w:val="left" w:pos="1418"/>
        </w:tabs>
        <w:spacing w:after="0" w:line="240" w:lineRule="auto"/>
        <w:ind w:firstLine="357"/>
        <w:jc w:val="both"/>
        <w:textAlignment w:val="top"/>
        <w:rPr>
          <w:rFonts w:ascii="Times New Roman" w:hAnsi="Times New Roman"/>
          <w:sz w:val="28"/>
          <w:szCs w:val="28"/>
          <w:lang w:eastAsia="uk-UA"/>
        </w:rPr>
      </w:pPr>
      <w:r>
        <w:rPr>
          <w:rFonts w:ascii="Times New Roman" w:hAnsi="Times New Roman"/>
          <w:sz w:val="28"/>
          <w:szCs w:val="28"/>
          <w:lang w:eastAsia="ru-RU"/>
        </w:rPr>
        <w:t>1. До участі у програмах академічної мобільності допускаються здобувачі вищої освіти, починаючи з другого курсу рівня вищої освіти «бакалавр».</w:t>
      </w:r>
      <w:r>
        <w:rPr>
          <w:rFonts w:ascii="Times New Roman" w:hAnsi="Times New Roman"/>
          <w:sz w:val="28"/>
          <w:szCs w:val="28"/>
          <w:lang w:eastAsia="uk-UA"/>
        </w:rPr>
        <w:t xml:space="preserve"> </w:t>
      </w:r>
    </w:p>
    <w:p w:rsidR="000179FA" w:rsidRDefault="000179FA" w:rsidP="00104F26">
      <w:pPr>
        <w:spacing w:after="0" w:line="240" w:lineRule="auto"/>
        <w:ind w:firstLine="357"/>
        <w:jc w:val="both"/>
        <w:textAlignment w:val="top"/>
        <w:rPr>
          <w:rFonts w:ascii="Times New Roman" w:hAnsi="Times New Roman"/>
          <w:sz w:val="28"/>
          <w:szCs w:val="28"/>
          <w:lang w:eastAsia="uk-UA"/>
        </w:rPr>
      </w:pPr>
      <w:r>
        <w:rPr>
          <w:rFonts w:ascii="Times New Roman" w:hAnsi="Times New Roman"/>
          <w:sz w:val="28"/>
          <w:szCs w:val="28"/>
          <w:lang w:eastAsia="uk-UA"/>
        </w:rPr>
        <w:t xml:space="preserve">2. Відбір студентів для участі в програмах академічної мобільності здійснюється конкурсною комісією ХДУ з урахуванням рейтингу успішності, участі у науковій роботі та знання іноземної мови. </w:t>
      </w:r>
    </w:p>
    <w:p w:rsidR="000179FA" w:rsidRDefault="000179FA" w:rsidP="00104F26">
      <w:pPr>
        <w:spacing w:after="0" w:line="240" w:lineRule="auto"/>
        <w:ind w:firstLine="357"/>
        <w:jc w:val="both"/>
        <w:textAlignment w:val="top"/>
        <w:rPr>
          <w:rFonts w:ascii="Times New Roman" w:hAnsi="Times New Roman"/>
          <w:sz w:val="28"/>
          <w:szCs w:val="28"/>
          <w:lang w:eastAsia="uk-UA"/>
        </w:rPr>
      </w:pPr>
      <w:r>
        <w:rPr>
          <w:rFonts w:ascii="Times New Roman" w:hAnsi="Times New Roman"/>
          <w:sz w:val="28"/>
          <w:szCs w:val="28"/>
          <w:lang w:eastAsia="uk-UA"/>
        </w:rPr>
        <w:t xml:space="preserve">Конкурсну комісію очолює ректор ХДУ або проректор за відповідним напрямком діяльності. </w:t>
      </w:r>
    </w:p>
    <w:p w:rsidR="000179FA" w:rsidRDefault="000179FA" w:rsidP="00104F26">
      <w:pPr>
        <w:spacing w:after="0" w:line="240" w:lineRule="auto"/>
        <w:ind w:firstLine="357"/>
        <w:jc w:val="both"/>
        <w:textAlignment w:val="top"/>
        <w:rPr>
          <w:rFonts w:ascii="Times New Roman" w:hAnsi="Times New Roman"/>
          <w:sz w:val="28"/>
          <w:szCs w:val="28"/>
          <w:lang w:eastAsia="uk-UA"/>
        </w:rPr>
      </w:pPr>
      <w:r>
        <w:rPr>
          <w:rFonts w:ascii="Times New Roman" w:hAnsi="Times New Roman"/>
          <w:sz w:val="28"/>
          <w:szCs w:val="28"/>
          <w:lang w:eastAsia="uk-UA"/>
        </w:rPr>
        <w:t>Склад конкурсної комісії визначає та затверджує ректор ХДУ за умови обов'язкової участі в її роботі представників органів студентського самоврядування.</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У випадку, якщо здобувач вищої освіти бере участь у міжнародній програмі академічної мобільності, конкурсний відбір здійснюється організацією, яка надає студенту грант на умовах і за критеріями, визначеними в установчих документах конкурсу.</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3. Іноземні здобувачі вищої освіти, що реалізують право на академічну мобільність в рамках договорів про співробітництво між вітчизняними та іноземними вищими навчальними закладами (науковими установами) — партнерами, можуть бути зараховані на навчання до вітчизняних вищих навчальних закладів:</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за рахунок коштів міжнародних програм та організацій;</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за рахунок власних надходжень вищих навчальних закладів;</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за рахунок коштів фізичних або юридичних осіб;</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на умовах безоплатного навчання у разі взаємного обміну здобувачами вищої освіти, в тому числі за спільними освітніми програмами, які передбачають отримання спільного або подвійного документа (документів) про вищу освіту на умовах безоплатного навчання у разі міжнародного обміну здобувачами вищої освіти, якщо кількість таких іноземних здобувачів вищої освіти не перевищує кількість вітчизняних здобувачів вищої освіти, які навчаються в іноземному вищому навчальному закладі — партнері в межах програм академічної мобільності відповідно до укладених між вищими навчальними закладами договорів про міжнародну академічну мобільність.</w:t>
      </w:r>
    </w:p>
    <w:p w:rsidR="000179FA" w:rsidRDefault="000179FA" w:rsidP="00104F26">
      <w:pPr>
        <w:spacing w:after="0" w:line="240" w:lineRule="auto"/>
        <w:ind w:firstLine="357"/>
        <w:jc w:val="both"/>
        <w:rPr>
          <w:rFonts w:ascii="Times New Roman" w:hAnsi="Times New Roman"/>
          <w:sz w:val="28"/>
          <w:szCs w:val="28"/>
          <w:lang w:eastAsia="uk-UA"/>
        </w:rPr>
      </w:pPr>
    </w:p>
    <w:p w:rsidR="000179FA" w:rsidRDefault="000179FA" w:rsidP="00104F26">
      <w:pPr>
        <w:spacing w:after="0" w:line="240" w:lineRule="auto"/>
        <w:ind w:firstLine="357"/>
        <w:jc w:val="both"/>
        <w:textAlignment w:val="top"/>
        <w:rPr>
          <w:rFonts w:ascii="Times New Roman" w:hAnsi="Times New Roman"/>
          <w:sz w:val="28"/>
          <w:szCs w:val="28"/>
          <w:lang w:eastAsia="uk-UA"/>
        </w:rPr>
      </w:pPr>
      <w:r>
        <w:rPr>
          <w:rFonts w:ascii="Times New Roman" w:hAnsi="Times New Roman"/>
          <w:sz w:val="28"/>
          <w:szCs w:val="28"/>
          <w:lang w:eastAsia="ru-RU"/>
        </w:rPr>
        <w:t>5. ВИЗНАННЯ ТА ПЕРЕЗАРАХУВАННЯ РЕЗУЛЬТАТІВ НАВЧАННЯ У ВИЩОМУ НАВЧАЛЬНОМУ ЗАКЛАДІ-ПАРТНЕРІ</w:t>
      </w:r>
    </w:p>
    <w:p w:rsidR="000179FA" w:rsidRDefault="000179FA" w:rsidP="00104F26">
      <w:pPr>
        <w:spacing w:after="0" w:line="240" w:lineRule="auto"/>
        <w:ind w:firstLine="357"/>
        <w:jc w:val="both"/>
        <w:rPr>
          <w:rFonts w:ascii="Times New Roman" w:hAnsi="Times New Roman"/>
          <w:sz w:val="28"/>
          <w:szCs w:val="28"/>
          <w:lang w:eastAsia="ru-RU"/>
        </w:rPr>
      </w:pP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1. ХДУ визнає еквівалентними та перезараховує результати навчання здобувача вищої освіти у вищому навчальному закладі-партнері.</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2. Визнання результатів навчання в рамках академічного співробітництва з вищими навчальними закладами-партнерами здійснюється з використанням європейської системи трансферу та накопичення кредитів ECTS або з використанням системи оцінювання навчальних здобутків, прийнятої у країні вищого навчального закладу-партнера, якщо в ній не передбачено застосування ЕСТS.</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3. Навчальні дисципліни та інші види навчальної діяльності зазначаються в індивідуальному навчальному плані здобувача вищої освіти.</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4. Перезарахування вивчених навчальних дисциплін здійснюється на підставі наданого документа з переліком та результатами вивчення навчальних дисциплін, кількістю кредитів та інформацією про систему оцінювання навчальних здобутків, завіреного в установленому порядку у вищому навчальному закладі-партнері.</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5. Академічна різниця нормативних та вибіркових навчальних дисциплін за індивідуальним навчальним планом визначається ХДУ, але не повинна перевищувати 10 навчальних дисциплін.</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Порядок ліквідації академічної різниці визначається вищими навчальними закладами-партнерами відповідно до законодавства. </w:t>
      </w:r>
    </w:p>
    <w:p w:rsidR="000179FA" w:rsidRDefault="000179FA" w:rsidP="00104F26">
      <w:pPr>
        <w:spacing w:after="0" w:line="240" w:lineRule="auto"/>
        <w:ind w:firstLine="357"/>
        <w:jc w:val="both"/>
        <w:rPr>
          <w:rFonts w:ascii="Times New Roman" w:hAnsi="Times New Roman"/>
          <w:sz w:val="28"/>
          <w:szCs w:val="28"/>
          <w:lang w:val="ru-RU" w:eastAsia="ru-RU"/>
        </w:rPr>
      </w:pPr>
      <w:r>
        <w:rPr>
          <w:rFonts w:ascii="Times New Roman" w:hAnsi="Times New Roman"/>
          <w:sz w:val="28"/>
          <w:szCs w:val="28"/>
          <w:lang w:eastAsia="ru-RU"/>
        </w:rPr>
        <w:t>6. Результати підсумкової атестації у період навчання у вищому навчальному закладі-партнері представляються за шкалою, прийнятою у вищому навчальному закладі-партнері і переводяться у шкалу, прийняту у ХДУ.</w:t>
      </w:r>
    </w:p>
    <w:p w:rsidR="000179FA" w:rsidRDefault="000179FA" w:rsidP="00104F2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Для студентів-учасників програми «Подвійний диплом», студентів, які проходили (проходять) навчання на підставі підписаних ХДУ угод, визнання (зарахування) результатів навчання у ВНЗ-партнерах з дисциплін, що визначені у «Протоколі еквівалентності» або в угоді про академічне співробітництво, здійснюється розпорядженням проректора з навчальної та науково-педагогічної роботи на підставі інформації про результати навчання у ВНЗ-партнері, завіреної в установленому порядку, за поданням декана факультету або координатора Програми.</w:t>
      </w:r>
    </w:p>
    <w:p w:rsidR="000179FA" w:rsidRDefault="000179FA" w:rsidP="00104F2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зарахуванні застосовується наступна шкала оцінок у ВНЗ-партнері, сумісна зі шкалою оцінювання ХДУ:</w:t>
      </w:r>
    </w:p>
    <w:p w:rsidR="000179FA" w:rsidRDefault="000179FA" w:rsidP="00104F26">
      <w:pPr>
        <w:spacing w:after="0" w:line="240" w:lineRule="auto"/>
        <w:ind w:firstLine="540"/>
        <w:jc w:val="both"/>
        <w:rPr>
          <w:rFonts w:ascii="Times New Roman" w:hAnsi="Times New Roman"/>
          <w:sz w:val="28"/>
          <w:szCs w:val="28"/>
          <w:lang w:eastAsia="ru-RU"/>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61"/>
        <w:gridCol w:w="1561"/>
        <w:gridCol w:w="846"/>
        <w:gridCol w:w="1441"/>
        <w:gridCol w:w="1621"/>
        <w:gridCol w:w="1562"/>
        <w:gridCol w:w="843"/>
      </w:tblGrid>
      <w:tr w:rsidR="000179FA" w:rsidTr="00104F26">
        <w:tc>
          <w:tcPr>
            <w:tcW w:w="3965" w:type="dxa"/>
            <w:gridSpan w:val="3"/>
            <w:tcBorders>
              <w:right w:val="single" w:sz="12" w:space="0" w:color="auto"/>
            </w:tcBorders>
          </w:tcPr>
          <w:p w:rsidR="000179FA" w:rsidRDefault="000179F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Система-оцінювання ВНЗ-партнера</w:t>
            </w:r>
          </w:p>
        </w:tc>
        <w:tc>
          <w:tcPr>
            <w:tcW w:w="5463" w:type="dxa"/>
            <w:gridSpan w:val="4"/>
            <w:tcBorders>
              <w:left w:val="single" w:sz="12" w:space="0" w:color="auto"/>
            </w:tcBorders>
          </w:tcPr>
          <w:p w:rsidR="000179FA" w:rsidRDefault="000179F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Система оцінювання ХДУ</w:t>
            </w:r>
          </w:p>
        </w:tc>
      </w:tr>
      <w:tr w:rsidR="000179FA" w:rsidTr="00104F26">
        <w:tc>
          <w:tcPr>
            <w:tcW w:w="1560" w:type="dxa"/>
          </w:tcPr>
          <w:p w:rsidR="000179FA" w:rsidRDefault="000179F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Середній бал</w:t>
            </w:r>
          </w:p>
        </w:tc>
        <w:tc>
          <w:tcPr>
            <w:tcW w:w="1560" w:type="dxa"/>
          </w:tcPr>
          <w:p w:rsidR="000179FA" w:rsidRDefault="000179F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Оцінка</w:t>
            </w:r>
          </w:p>
        </w:tc>
        <w:tc>
          <w:tcPr>
            <w:tcW w:w="845" w:type="dxa"/>
            <w:tcBorders>
              <w:right w:val="single" w:sz="12" w:space="0" w:color="auto"/>
            </w:tcBorders>
          </w:tcPr>
          <w:p w:rsidR="000179FA" w:rsidRDefault="000179F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ЄКТС</w:t>
            </w:r>
          </w:p>
        </w:tc>
        <w:tc>
          <w:tcPr>
            <w:tcW w:w="3060" w:type="dxa"/>
            <w:gridSpan w:val="2"/>
            <w:tcBorders>
              <w:left w:val="single" w:sz="12" w:space="0" w:color="auto"/>
            </w:tcBorders>
          </w:tcPr>
          <w:p w:rsidR="000179FA" w:rsidRDefault="000179F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Національна система</w:t>
            </w:r>
          </w:p>
        </w:tc>
        <w:tc>
          <w:tcPr>
            <w:tcW w:w="1561" w:type="dxa"/>
          </w:tcPr>
          <w:p w:rsidR="000179FA" w:rsidRDefault="000179F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100-бальна шкала</w:t>
            </w:r>
          </w:p>
        </w:tc>
        <w:tc>
          <w:tcPr>
            <w:tcW w:w="842" w:type="dxa"/>
          </w:tcPr>
          <w:p w:rsidR="000179FA" w:rsidRDefault="000179FA">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ЄКТС</w:t>
            </w:r>
          </w:p>
        </w:tc>
      </w:tr>
      <w:tr w:rsidR="000179FA" w:rsidTr="00104F26">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2.0-2.99 = 2</w:t>
            </w:r>
          </w:p>
        </w:tc>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недостатньо</w:t>
            </w:r>
          </w:p>
        </w:tc>
        <w:tc>
          <w:tcPr>
            <w:tcW w:w="845" w:type="dxa"/>
            <w:tcBorders>
              <w:right w:val="single" w:sz="12" w:space="0" w:color="auto"/>
            </w:tcBorders>
          </w:tcPr>
          <w:p w:rsidR="000179FA" w:rsidRDefault="000179FA">
            <w:pPr>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F</w:t>
            </w:r>
          </w:p>
        </w:tc>
        <w:tc>
          <w:tcPr>
            <w:tcW w:w="1440" w:type="dxa"/>
            <w:tcBorders>
              <w:lef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незадовільно</w:t>
            </w:r>
          </w:p>
        </w:tc>
        <w:tc>
          <w:tcPr>
            <w:tcW w:w="162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не зараховано</w:t>
            </w:r>
          </w:p>
        </w:tc>
        <w:tc>
          <w:tcPr>
            <w:tcW w:w="1561"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35</w:t>
            </w:r>
          </w:p>
        </w:tc>
        <w:tc>
          <w:tcPr>
            <w:tcW w:w="842"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val="en-US" w:eastAsia="ru-RU"/>
              </w:rPr>
              <w:t>FX</w:t>
            </w:r>
          </w:p>
        </w:tc>
      </w:tr>
      <w:tr w:rsidR="000179FA" w:rsidTr="00104F26">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3.0-3.24 = 3</w:t>
            </w:r>
          </w:p>
        </w:tc>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достатньо</w:t>
            </w:r>
          </w:p>
        </w:tc>
        <w:tc>
          <w:tcPr>
            <w:tcW w:w="845" w:type="dxa"/>
            <w:tcBorders>
              <w:righ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Е</w:t>
            </w:r>
          </w:p>
        </w:tc>
        <w:tc>
          <w:tcPr>
            <w:tcW w:w="1440" w:type="dxa"/>
            <w:tcBorders>
              <w:lef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задовільно</w:t>
            </w:r>
          </w:p>
        </w:tc>
        <w:tc>
          <w:tcPr>
            <w:tcW w:w="1620" w:type="dxa"/>
            <w:vMerge w:val="restart"/>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зараховано</w:t>
            </w:r>
          </w:p>
        </w:tc>
        <w:tc>
          <w:tcPr>
            <w:tcW w:w="1561"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60</w:t>
            </w:r>
          </w:p>
        </w:tc>
        <w:tc>
          <w:tcPr>
            <w:tcW w:w="842"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Е</w:t>
            </w:r>
          </w:p>
        </w:tc>
      </w:tr>
      <w:tr w:rsidR="000179FA" w:rsidTr="00104F26">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3.25-3.74 = 3.5</w:t>
            </w:r>
          </w:p>
        </w:tc>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достатньо плюс</w:t>
            </w:r>
          </w:p>
        </w:tc>
        <w:tc>
          <w:tcPr>
            <w:tcW w:w="845" w:type="dxa"/>
            <w:tcBorders>
              <w:right w:val="single" w:sz="12" w:space="0" w:color="auto"/>
            </w:tcBorders>
          </w:tcPr>
          <w:p w:rsidR="000179FA" w:rsidRDefault="000179FA">
            <w:pPr>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D</w:t>
            </w:r>
          </w:p>
        </w:tc>
        <w:tc>
          <w:tcPr>
            <w:tcW w:w="1440" w:type="dxa"/>
            <w:tcBorders>
              <w:lef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задовільно</w:t>
            </w:r>
          </w:p>
        </w:tc>
        <w:tc>
          <w:tcPr>
            <w:tcW w:w="1620" w:type="dxa"/>
            <w:vMerge/>
            <w:vAlign w:val="center"/>
          </w:tcPr>
          <w:p w:rsidR="000179FA" w:rsidRDefault="000179FA">
            <w:pPr>
              <w:spacing w:after="0" w:line="240" w:lineRule="auto"/>
              <w:rPr>
                <w:rFonts w:ascii="Times New Roman" w:hAnsi="Times New Roman"/>
                <w:sz w:val="28"/>
                <w:szCs w:val="28"/>
                <w:lang w:eastAsia="ru-RU"/>
              </w:rPr>
            </w:pPr>
          </w:p>
        </w:tc>
        <w:tc>
          <w:tcPr>
            <w:tcW w:w="1561"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69</w:t>
            </w:r>
          </w:p>
        </w:tc>
        <w:tc>
          <w:tcPr>
            <w:tcW w:w="842" w:type="dxa"/>
          </w:tcPr>
          <w:p w:rsidR="000179FA" w:rsidRDefault="000179FA">
            <w:pPr>
              <w:spacing w:after="0" w:line="240" w:lineRule="auto"/>
              <w:jc w:val="both"/>
              <w:rPr>
                <w:rFonts w:ascii="Times New Roman" w:hAnsi="Times New Roman"/>
                <w:sz w:val="28"/>
                <w:szCs w:val="28"/>
                <w:lang w:val="en-US" w:eastAsia="ru-RU"/>
              </w:rPr>
            </w:pPr>
            <w:r>
              <w:rPr>
                <w:rFonts w:ascii="Times New Roman" w:hAnsi="Times New Roman"/>
                <w:sz w:val="28"/>
                <w:szCs w:val="28"/>
                <w:lang w:val="en-US" w:eastAsia="ru-RU"/>
              </w:rPr>
              <w:t>D</w:t>
            </w:r>
          </w:p>
        </w:tc>
      </w:tr>
      <w:tr w:rsidR="000179FA" w:rsidTr="00104F26">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3.75-4.24 = 4</w:t>
            </w:r>
          </w:p>
        </w:tc>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добре</w:t>
            </w:r>
          </w:p>
        </w:tc>
        <w:tc>
          <w:tcPr>
            <w:tcW w:w="845" w:type="dxa"/>
            <w:tcBorders>
              <w:righ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p>
        </w:tc>
        <w:tc>
          <w:tcPr>
            <w:tcW w:w="1440" w:type="dxa"/>
            <w:tcBorders>
              <w:lef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добре</w:t>
            </w:r>
          </w:p>
        </w:tc>
        <w:tc>
          <w:tcPr>
            <w:tcW w:w="1620" w:type="dxa"/>
            <w:vMerge/>
            <w:vAlign w:val="center"/>
          </w:tcPr>
          <w:p w:rsidR="000179FA" w:rsidRDefault="000179FA">
            <w:pPr>
              <w:spacing w:after="0" w:line="240" w:lineRule="auto"/>
              <w:rPr>
                <w:rFonts w:ascii="Times New Roman" w:hAnsi="Times New Roman"/>
                <w:sz w:val="28"/>
                <w:szCs w:val="28"/>
                <w:lang w:eastAsia="ru-RU"/>
              </w:rPr>
            </w:pPr>
          </w:p>
        </w:tc>
        <w:tc>
          <w:tcPr>
            <w:tcW w:w="1561"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78</w:t>
            </w:r>
          </w:p>
        </w:tc>
        <w:tc>
          <w:tcPr>
            <w:tcW w:w="842"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p>
        </w:tc>
      </w:tr>
      <w:tr w:rsidR="000179FA" w:rsidTr="00104F26">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4.25-4.74 = 4.5</w:t>
            </w:r>
          </w:p>
        </w:tc>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добре плюс</w:t>
            </w:r>
          </w:p>
        </w:tc>
        <w:tc>
          <w:tcPr>
            <w:tcW w:w="845" w:type="dxa"/>
            <w:tcBorders>
              <w:righ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p>
        </w:tc>
        <w:tc>
          <w:tcPr>
            <w:tcW w:w="1440" w:type="dxa"/>
            <w:tcBorders>
              <w:lef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добре</w:t>
            </w:r>
          </w:p>
        </w:tc>
        <w:tc>
          <w:tcPr>
            <w:tcW w:w="1620" w:type="dxa"/>
            <w:vMerge/>
            <w:vAlign w:val="center"/>
          </w:tcPr>
          <w:p w:rsidR="000179FA" w:rsidRDefault="000179FA">
            <w:pPr>
              <w:spacing w:after="0" w:line="240" w:lineRule="auto"/>
              <w:rPr>
                <w:rFonts w:ascii="Times New Roman" w:hAnsi="Times New Roman"/>
                <w:sz w:val="28"/>
                <w:szCs w:val="28"/>
                <w:lang w:eastAsia="ru-RU"/>
              </w:rPr>
            </w:pPr>
          </w:p>
        </w:tc>
        <w:tc>
          <w:tcPr>
            <w:tcW w:w="1561"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87</w:t>
            </w:r>
          </w:p>
        </w:tc>
        <w:tc>
          <w:tcPr>
            <w:tcW w:w="842"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w:t>
            </w:r>
          </w:p>
        </w:tc>
      </w:tr>
      <w:tr w:rsidR="000179FA" w:rsidTr="00104F26">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4.65-5.0 = 5</w:t>
            </w:r>
          </w:p>
        </w:tc>
        <w:tc>
          <w:tcPr>
            <w:tcW w:w="1560"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дуже добре</w:t>
            </w:r>
          </w:p>
        </w:tc>
        <w:tc>
          <w:tcPr>
            <w:tcW w:w="845" w:type="dxa"/>
            <w:tcBorders>
              <w:righ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w:t>
            </w:r>
          </w:p>
        </w:tc>
        <w:tc>
          <w:tcPr>
            <w:tcW w:w="1440" w:type="dxa"/>
            <w:tcBorders>
              <w:left w:val="single" w:sz="12" w:space="0" w:color="auto"/>
            </w:tcBorders>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відмінно</w:t>
            </w:r>
          </w:p>
        </w:tc>
        <w:tc>
          <w:tcPr>
            <w:tcW w:w="1620" w:type="dxa"/>
            <w:vMerge/>
            <w:vAlign w:val="center"/>
          </w:tcPr>
          <w:p w:rsidR="000179FA" w:rsidRDefault="000179FA">
            <w:pPr>
              <w:spacing w:after="0" w:line="240" w:lineRule="auto"/>
              <w:rPr>
                <w:rFonts w:ascii="Times New Roman" w:hAnsi="Times New Roman"/>
                <w:sz w:val="28"/>
                <w:szCs w:val="28"/>
                <w:lang w:eastAsia="ru-RU"/>
              </w:rPr>
            </w:pPr>
          </w:p>
        </w:tc>
        <w:tc>
          <w:tcPr>
            <w:tcW w:w="1561"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95</w:t>
            </w:r>
          </w:p>
        </w:tc>
        <w:tc>
          <w:tcPr>
            <w:tcW w:w="842" w:type="dxa"/>
          </w:tcPr>
          <w:p w:rsidR="000179FA" w:rsidRDefault="000179F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w:t>
            </w:r>
          </w:p>
        </w:tc>
      </w:tr>
    </w:tbl>
    <w:p w:rsidR="000179FA" w:rsidRDefault="000179FA" w:rsidP="00104F26">
      <w:pPr>
        <w:spacing w:after="0" w:line="240" w:lineRule="auto"/>
        <w:ind w:firstLine="540"/>
        <w:jc w:val="both"/>
        <w:rPr>
          <w:rFonts w:ascii="Times New Roman" w:hAnsi="Times New Roman"/>
          <w:sz w:val="28"/>
          <w:szCs w:val="28"/>
          <w:lang w:eastAsia="ru-RU"/>
        </w:rPr>
      </w:pPr>
    </w:p>
    <w:p w:rsidR="000179FA" w:rsidRDefault="000179FA" w:rsidP="00104F2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Відповідний запис про результати навчання у ВНЗ-партнері (наприклад, «добре (зараховано), 78, С») в «Аркуші успішності» та в заліковій книжці робить координатор проекту (заступник декана з навчальної роботи) з посиланням на відповідне розпорядження проректора з навчальної та науково-педагогічної роботи.</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7. Державна атестація здобувачів вищої освіти, які навчаються за програмою академічної мобільності, здійснюється у встановленому порядку.</w:t>
      </w:r>
    </w:p>
    <w:p w:rsidR="000179FA" w:rsidRDefault="000179FA" w:rsidP="00104F26">
      <w:pPr>
        <w:spacing w:after="0" w:line="240" w:lineRule="auto"/>
        <w:ind w:firstLine="357"/>
        <w:jc w:val="both"/>
        <w:rPr>
          <w:rFonts w:ascii="Times New Roman" w:hAnsi="Times New Roman"/>
          <w:sz w:val="28"/>
          <w:szCs w:val="28"/>
          <w:lang w:eastAsia="ru-RU"/>
        </w:rPr>
      </w:pP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6. ОБОВ’ЯЗКИ ВИЩИХ НАВЧАЛЬНИХ ЗАКЛАДІВ-ПАРТНЕРІВ</w:t>
      </w:r>
    </w:p>
    <w:p w:rsidR="000179FA" w:rsidRDefault="000179FA" w:rsidP="00104F26">
      <w:pPr>
        <w:spacing w:after="0" w:line="240" w:lineRule="auto"/>
        <w:ind w:firstLine="357"/>
        <w:jc w:val="both"/>
        <w:rPr>
          <w:rFonts w:ascii="Times New Roman" w:hAnsi="Times New Roman"/>
          <w:sz w:val="28"/>
          <w:szCs w:val="28"/>
          <w:lang w:eastAsia="ru-RU"/>
        </w:rPr>
      </w:pP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1. Учасники освітнього процесу, які є здобувачами вищої освіти в  межах програм внутрішньої мобільності, зараховуються до вищих навчальних закладів (наукових установ) — партнерів в Україні як такі, що тимчасово допущені до освітнього процесу і мають права та обов’язки здобувачів вищої освіти вітчизняного вищого навчального закладу (наукової установи).</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2. За домовленістю між учасниками академічної мобільності:</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здійснюється відбір учасників освітнього процесу для участі в програмах академічної мобільності;</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регламентуються перелік вимог та документів, необхідних для підтвердження участі в програмі академічної мобільності, процедура і строк їх подання;</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визначаються етапи, фінансові умови, види та форми академічної мобільності, тривалість і зміст навчання та стажування у вищих навчальних закладах (наукових установах) — партнерах;</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визначаються умови визнання результатів навчання, стажування або проведення наукових досліджень та звітування науково-педагогічних, наукових та педагогічних працівників.</w:t>
      </w:r>
    </w:p>
    <w:p w:rsidR="000179FA" w:rsidRDefault="000179FA" w:rsidP="00104F26">
      <w:pPr>
        <w:spacing w:after="0" w:line="240" w:lineRule="auto"/>
        <w:ind w:left="717"/>
        <w:jc w:val="both"/>
        <w:rPr>
          <w:rFonts w:ascii="Times New Roman" w:hAnsi="Times New Roman"/>
          <w:sz w:val="28"/>
          <w:szCs w:val="28"/>
          <w:lang w:eastAsia="uk-UA"/>
        </w:rPr>
      </w:pPr>
      <w:r>
        <w:rPr>
          <w:rFonts w:ascii="Times New Roman" w:hAnsi="Times New Roman"/>
          <w:sz w:val="28"/>
          <w:szCs w:val="28"/>
          <w:lang w:eastAsia="ru-RU"/>
        </w:rPr>
        <w:t>2. Вищий навчальний заклад, що направляє на навчання, зобов’язаний:</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ru-RU"/>
        </w:rPr>
        <w:t xml:space="preserve">укласти угоду про співробітництво щодо реалізації програми академічної мобільності здобувачів вищої освіти між вищими навчальними закладами-партнерами та узгодити навчальні програми; </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забезпечити вільний і рівний доступ до інформації про наявні програми академічної мобільності та існуючі критерії відбору;</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надавати консультативні послуги під час оформлення документів для участі у програмах академічної мобільності; </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контролювати наявність документів, що підтверджують законність перебування здобувачів вищої освіти-іноземців на території приймаючої країни.</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3. Вищий навчальний заклад-партнер, що приймає на навчання, зобов’язаний:</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зарахувати здобувача вищої освіти, направленого на навчання на визначений договором строк відповідно до норм законодавства приймаючої сторони;</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створити усі необхідні умови для виконання індивідуального навчального плану;</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сприяти у вирішенні візових, житлових та побутових проблем;</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надавати можливість здобувачам вищої освіти вищого навчального закладу-партнера брати участь у наукових конференціях, симпозіумах, виставках, конкурсах, представляти свої наукові роботи для публікацій, користуватися навчальною, науковою, виробничою, культурною, спортивною базами;</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 xml:space="preserve">контролювати наявність документів, що підтверджують законність перебування здобувачів вищої освіти-іноземців на території приймаючої країни; </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після завершення навчання видати документ з переліком та результатами вивчення навчальних дисциплін, кількістю кредитів та інформацією про систему оцінювання навчальних здобутків студентів або документ про вищу освіту з додатком встановленого у вищому навчальному закладі-партнері зразка.</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4. Обов'язки вищих навчальних закладів-партнерів щодо осіб, які беруть участь у програмах академічної мобільності, мають бути обумовлені у відповідних угодах між вищими навчальними закладами-партнерами щодо програм академічної мобільності студентів між вищими навчальними закладами-партнерами.</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5. Здобувачі вищої освіти мають право на:</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продовження навчання або вивчення окремих навчальних дисциплін за спорідненими напрямами та спеціальностями підготовки фахівців у вищих навчальних закладах-партнерах;</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безпечні та нешкідливі умови навчання;</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користування навчальною, науковою, виробничою, культурною, спортивною базою вищого навчального закладу, що приймає;</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участь у наукових конференціях, симпозіумах, виставках, конкурсах, представлення своїх наукових робіт для публікацій;</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можливість отримання документа про відповідний рівень встановленого у вищому навчальному закладі-партнері зразка відбувається відповідно до угоди між вищими навчальними закладами-партнерами щодо програм академічної мобільності.</w:t>
      </w:r>
    </w:p>
    <w:p w:rsidR="000179FA" w:rsidRDefault="000179FA" w:rsidP="00104F26">
      <w:pPr>
        <w:spacing w:after="0" w:line="240" w:lineRule="auto"/>
        <w:ind w:firstLine="357"/>
        <w:jc w:val="both"/>
        <w:rPr>
          <w:rFonts w:ascii="Times New Roman" w:hAnsi="Times New Roman"/>
          <w:sz w:val="28"/>
          <w:szCs w:val="28"/>
          <w:lang w:eastAsia="uk-UA"/>
        </w:rPr>
      </w:pPr>
      <w:r>
        <w:rPr>
          <w:rFonts w:ascii="Times New Roman" w:hAnsi="Times New Roman"/>
          <w:sz w:val="28"/>
          <w:szCs w:val="28"/>
          <w:lang w:eastAsia="uk-UA"/>
        </w:rPr>
        <w:t>За здобувачами вищої освіти на період навчання в іншому вищому навчальному закладі (науковій установі) — партнері на території України чи поза її межами зберігаються відповідно до укладеного договору про академічну мобільність місце навчання та виплата стипендії згідно із законодавством протягом навчання, стажування чи провадження наукової діяльності в іншому вищому навчальному закладі (науковій установі) — партнері на території України чи поза її межами, якщо стипендія не передбачена умовами академічної мобільності.</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6. Здобувачі вищої освіти зобов’язані:</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своєчасно надати необхідні документи для участі в програмі академічної мобільності;</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вчасно прибути до місця навчання;</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під час навчання дотримуватися законодавства країни перебування, правил внутрішнього розпорядку, Статуту та інших нормативно-правових документів вищого навчального закладу, що приймає;</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успішно пройти навчання за затвердженим індивідуальним навчальним планом;</w:t>
      </w: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після завершення навчання у вищому навчальному закладі-партнері вчасно повернутися до вищого навчального закладу, що направив на навчання.</w:t>
      </w:r>
    </w:p>
    <w:p w:rsidR="000179FA" w:rsidRDefault="000179FA" w:rsidP="00104F26">
      <w:pPr>
        <w:spacing w:after="0" w:line="240" w:lineRule="auto"/>
        <w:ind w:firstLine="357"/>
        <w:jc w:val="both"/>
        <w:rPr>
          <w:rFonts w:ascii="Times New Roman" w:hAnsi="Times New Roman"/>
          <w:sz w:val="28"/>
          <w:szCs w:val="28"/>
          <w:lang w:eastAsia="ru-RU"/>
        </w:rPr>
      </w:pPr>
    </w:p>
    <w:p w:rsidR="000179FA" w:rsidRDefault="000179FA" w:rsidP="00104F26">
      <w:pPr>
        <w:tabs>
          <w:tab w:val="left" w:pos="0"/>
        </w:tabs>
        <w:spacing w:after="0" w:line="240" w:lineRule="auto"/>
        <w:jc w:val="center"/>
        <w:rPr>
          <w:rFonts w:ascii="Times New Roman" w:hAnsi="Times New Roman"/>
          <w:iCs/>
          <w:sz w:val="28"/>
          <w:szCs w:val="28"/>
          <w:lang w:eastAsia="ru-RU"/>
        </w:rPr>
      </w:pPr>
      <w:r>
        <w:rPr>
          <w:rFonts w:ascii="Times New Roman" w:hAnsi="Times New Roman"/>
          <w:iCs/>
          <w:sz w:val="28"/>
          <w:szCs w:val="28"/>
          <w:lang w:eastAsia="ru-RU"/>
        </w:rPr>
        <w:t>7.ЗВІТУВАННЯ ТА ОФОРМЛЕННЯ ДОКУМЕНТІВ ЗА РЕЗУЛЬТАТАМИ НАВЧАННЯ ЗА ПРОГРАМОЮ АКАДЕМІЧНОЇ МОБІЛЬНОСТІ</w:t>
      </w:r>
    </w:p>
    <w:p w:rsidR="000179FA" w:rsidRDefault="000179FA" w:rsidP="00104F26">
      <w:pPr>
        <w:tabs>
          <w:tab w:val="left" w:pos="0"/>
        </w:tabs>
        <w:spacing w:after="0" w:line="240" w:lineRule="auto"/>
        <w:jc w:val="center"/>
        <w:rPr>
          <w:rFonts w:ascii="Times New Roman" w:hAnsi="Times New Roman"/>
          <w:sz w:val="28"/>
          <w:szCs w:val="28"/>
          <w:lang w:eastAsia="ru-RU"/>
        </w:rPr>
      </w:pPr>
    </w:p>
    <w:p w:rsidR="000179FA" w:rsidRDefault="000179FA" w:rsidP="00104F26">
      <w:pPr>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1. Після повернення до ХДУ здобувач вищої освіти надає до деканату документ з переліком та результатами вивчення навчальних дисциплін, кількістю кредитів та інформацією про систему оцінювання навчальних здобутків, завірений в установленому порядку у вищому навчальному закладі-партнері.</w:t>
      </w:r>
    </w:p>
    <w:p w:rsidR="000179FA" w:rsidRDefault="000179FA" w:rsidP="00104F26">
      <w:pPr>
        <w:tabs>
          <w:tab w:val="num" w:pos="0"/>
        </w:tabs>
        <w:spacing w:after="0" w:line="240" w:lineRule="auto"/>
        <w:ind w:firstLine="357"/>
        <w:jc w:val="both"/>
        <w:rPr>
          <w:rFonts w:ascii="Times New Roman" w:hAnsi="Times New Roman"/>
          <w:sz w:val="28"/>
          <w:szCs w:val="28"/>
          <w:lang w:eastAsia="ru-RU"/>
        </w:rPr>
      </w:pPr>
      <w:r>
        <w:rPr>
          <w:rFonts w:ascii="Times New Roman" w:hAnsi="Times New Roman"/>
          <w:sz w:val="28"/>
          <w:szCs w:val="28"/>
          <w:lang w:eastAsia="ru-RU"/>
        </w:rPr>
        <w:t>2. Якщо здобувач вищої освіти під час перебування у вищому навчальному закладі-партнері не виконав затверджений індивідуальний навчальний план, то після повернення до ХДУ, йому може бути запропонований індивідуальний графік ліквідації академічної заборгованості, затверджений в установленому порядку, або повторний курс навчання у ХДУ за рахунок коштів фізичних та юридичних осіб.</w:t>
      </w:r>
    </w:p>
    <w:p w:rsidR="000179FA" w:rsidRDefault="000179FA" w:rsidP="00104F26">
      <w:pPr>
        <w:spacing w:after="0" w:line="240" w:lineRule="auto"/>
        <w:ind w:firstLine="357"/>
        <w:rPr>
          <w:rFonts w:ascii="Times New Roman" w:hAnsi="Times New Roman"/>
          <w:sz w:val="28"/>
          <w:szCs w:val="28"/>
        </w:rPr>
      </w:pPr>
    </w:p>
    <w:p w:rsidR="000179FA" w:rsidRPr="00104F26" w:rsidRDefault="000179FA" w:rsidP="00104F26"/>
    <w:sectPr w:rsidR="000179FA" w:rsidRPr="00104F26" w:rsidSect="00A57D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E3C4E"/>
    <w:multiLevelType w:val="hybridMultilevel"/>
    <w:tmpl w:val="9CDAC2B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4CC6D4A4">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33D146C"/>
    <w:multiLevelType w:val="hybridMultilevel"/>
    <w:tmpl w:val="3E26B7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5D3A31A4"/>
    <w:multiLevelType w:val="hybridMultilevel"/>
    <w:tmpl w:val="F8C672E4"/>
    <w:lvl w:ilvl="0" w:tplc="75DCE260">
      <w:start w:val="1"/>
      <w:numFmt w:val="decimal"/>
      <w:lvlText w:val="%1."/>
      <w:lvlJc w:val="left"/>
      <w:pPr>
        <w:tabs>
          <w:tab w:val="num" w:pos="1065"/>
        </w:tabs>
        <w:ind w:left="1065" w:hanging="7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3DC3208"/>
    <w:multiLevelType w:val="hybridMultilevel"/>
    <w:tmpl w:val="B822A306"/>
    <w:lvl w:ilvl="0" w:tplc="DFC88CD8">
      <w:start w:val="1"/>
      <w:numFmt w:val="decimal"/>
      <w:lvlText w:val="%1."/>
      <w:lvlJc w:val="left"/>
      <w:pPr>
        <w:tabs>
          <w:tab w:val="num" w:pos="1065"/>
        </w:tabs>
        <w:ind w:left="1065" w:hanging="7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CA00B68"/>
    <w:multiLevelType w:val="hybridMultilevel"/>
    <w:tmpl w:val="1CBEEBC2"/>
    <w:lvl w:ilvl="0" w:tplc="6B2C0578">
      <w:start w:val="1"/>
      <w:numFmt w:val="decimal"/>
      <w:lvlText w:val="%1."/>
      <w:lvlJc w:val="left"/>
      <w:pPr>
        <w:ind w:left="717" w:hanging="360"/>
      </w:pPr>
      <w:rPr>
        <w:rFonts w:cs="Times New Roman"/>
      </w:rPr>
    </w:lvl>
    <w:lvl w:ilvl="1" w:tplc="04220019">
      <w:start w:val="1"/>
      <w:numFmt w:val="lowerLetter"/>
      <w:lvlText w:val="%2."/>
      <w:lvlJc w:val="left"/>
      <w:pPr>
        <w:ind w:left="1437" w:hanging="360"/>
      </w:pPr>
      <w:rPr>
        <w:rFonts w:cs="Times New Roman"/>
      </w:rPr>
    </w:lvl>
    <w:lvl w:ilvl="2" w:tplc="0422001B">
      <w:start w:val="1"/>
      <w:numFmt w:val="lowerRoman"/>
      <w:lvlText w:val="%3."/>
      <w:lvlJc w:val="right"/>
      <w:pPr>
        <w:ind w:left="2157" w:hanging="180"/>
      </w:pPr>
      <w:rPr>
        <w:rFonts w:cs="Times New Roman"/>
      </w:rPr>
    </w:lvl>
    <w:lvl w:ilvl="3" w:tplc="0422000F">
      <w:start w:val="1"/>
      <w:numFmt w:val="decimal"/>
      <w:lvlText w:val="%4."/>
      <w:lvlJc w:val="left"/>
      <w:pPr>
        <w:ind w:left="2877" w:hanging="360"/>
      </w:pPr>
      <w:rPr>
        <w:rFonts w:cs="Times New Roman"/>
      </w:rPr>
    </w:lvl>
    <w:lvl w:ilvl="4" w:tplc="04220019">
      <w:start w:val="1"/>
      <w:numFmt w:val="lowerLetter"/>
      <w:lvlText w:val="%5."/>
      <w:lvlJc w:val="left"/>
      <w:pPr>
        <w:ind w:left="3597" w:hanging="360"/>
      </w:pPr>
      <w:rPr>
        <w:rFonts w:cs="Times New Roman"/>
      </w:rPr>
    </w:lvl>
    <w:lvl w:ilvl="5" w:tplc="0422001B">
      <w:start w:val="1"/>
      <w:numFmt w:val="lowerRoman"/>
      <w:lvlText w:val="%6."/>
      <w:lvlJc w:val="right"/>
      <w:pPr>
        <w:ind w:left="4317" w:hanging="180"/>
      </w:pPr>
      <w:rPr>
        <w:rFonts w:cs="Times New Roman"/>
      </w:rPr>
    </w:lvl>
    <w:lvl w:ilvl="6" w:tplc="0422000F">
      <w:start w:val="1"/>
      <w:numFmt w:val="decimal"/>
      <w:lvlText w:val="%7."/>
      <w:lvlJc w:val="left"/>
      <w:pPr>
        <w:ind w:left="5037" w:hanging="360"/>
      </w:pPr>
      <w:rPr>
        <w:rFonts w:cs="Times New Roman"/>
      </w:rPr>
    </w:lvl>
    <w:lvl w:ilvl="7" w:tplc="04220019">
      <w:start w:val="1"/>
      <w:numFmt w:val="lowerLetter"/>
      <w:lvlText w:val="%8."/>
      <w:lvlJc w:val="left"/>
      <w:pPr>
        <w:ind w:left="5757" w:hanging="360"/>
      </w:pPr>
      <w:rPr>
        <w:rFonts w:cs="Times New Roman"/>
      </w:rPr>
    </w:lvl>
    <w:lvl w:ilvl="8" w:tplc="0422001B">
      <w:start w:val="1"/>
      <w:numFmt w:val="lowerRoman"/>
      <w:lvlText w:val="%9."/>
      <w:lvlJc w:val="right"/>
      <w:pPr>
        <w:ind w:left="647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8DD"/>
    <w:rsid w:val="000179FA"/>
    <w:rsid w:val="00104F26"/>
    <w:rsid w:val="002C2F7A"/>
    <w:rsid w:val="003344FD"/>
    <w:rsid w:val="003532F7"/>
    <w:rsid w:val="00520B54"/>
    <w:rsid w:val="00592655"/>
    <w:rsid w:val="00A57D15"/>
    <w:rsid w:val="00A811A9"/>
    <w:rsid w:val="00B07059"/>
    <w:rsid w:val="00C05C29"/>
    <w:rsid w:val="00C36017"/>
    <w:rsid w:val="00C433B2"/>
    <w:rsid w:val="00CD38DD"/>
    <w:rsid w:val="00CE7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26"/>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4F26"/>
    <w:pPr>
      <w:ind w:left="720"/>
      <w:contextualSpacing/>
    </w:pPr>
  </w:style>
</w:styles>
</file>

<file path=word/webSettings.xml><?xml version="1.0" encoding="utf-8"?>
<w:webSettings xmlns:r="http://schemas.openxmlformats.org/officeDocument/2006/relationships" xmlns:w="http://schemas.openxmlformats.org/wordprocessingml/2006/main">
  <w:divs>
    <w:div w:id="437146448">
      <w:marLeft w:val="0"/>
      <w:marRight w:val="0"/>
      <w:marTop w:val="0"/>
      <w:marBottom w:val="0"/>
      <w:divBdr>
        <w:top w:val="none" w:sz="0" w:space="0" w:color="auto"/>
        <w:left w:val="none" w:sz="0" w:space="0" w:color="auto"/>
        <w:bottom w:val="none" w:sz="0" w:space="0" w:color="auto"/>
        <w:right w:val="none" w:sz="0" w:space="0" w:color="auto"/>
      </w:divBdr>
    </w:div>
    <w:div w:id="4371464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2647</Words>
  <Characters>15094</Characters>
  <Application>Microsoft Office Outlook</Application>
  <DocSecurity>0</DocSecurity>
  <Lines>0</Lines>
  <Paragraphs>0</Paragraphs>
  <ScaleCrop>false</ScaleCrop>
  <Company>DataArt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Полякова Галина Николаевна</dc:creator>
  <cp:keywords/>
  <dc:description/>
  <cp:lastModifiedBy>tschorna</cp:lastModifiedBy>
  <cp:revision>3</cp:revision>
  <dcterms:created xsi:type="dcterms:W3CDTF">2016-04-05T11:47:00Z</dcterms:created>
  <dcterms:modified xsi:type="dcterms:W3CDTF">2016-04-05T11:58:00Z</dcterms:modified>
</cp:coreProperties>
</file>